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27</w:t>
      </w:r>
    </w:p>
    <w:p>
      <w:r>
        <w:t>Bundesgericht (BGE), 1965-03-18, DE</w:t>
      </w:r>
    </w:p>
    <w:p>
      <w:r>
        <w:rPr>
          <w:b/>
        </w:rPr>
        <w:t xml:space="preserve">Quelle: </w:t>
      </w:r>
      <w:r>
        <w:t>https://mcp.opencaselaw.ch/entscheid/bge_91 III 27</w:t>
      </w:r>
    </w:p>
    <w:p>
      <w:r>
        <w:t>FR: ATF 91 III 27</w:t>
      </w:r>
    </w:p>
    <w:p>
      <w:r>
        <w:t>IT: DTF 91 III 27</w:t>
      </w:r>
    </w:p>
    <w:p>
      <w:pPr>
        <w:pStyle w:val="Heading2"/>
      </w:pPr>
      <w:r>
        <w:t>Regeste</w:t>
      </w:r>
    </w:p>
    <w:p>
      <w:r>
        <w:t>Regeste Anfechtung des Arrestbefehls. Art. 279 Abs. 1 SchKG. Von Bundes wegen ist gegen die Verweigerung eines Arrestgesuches kein Rechtsmittel gegeben; es steht aber den Kantonen frei, für diesen Fall Rechtsmittel einzuräumen.</w:t>
      </w:r>
    </w:p>
    <w:p>
      <w:pPr>
        <w:pStyle w:val="Heading2"/>
      </w:pPr>
      <w:r>
        <w:t>Erwägungen</w:t>
      </w:r>
    </w:p>
    <w:p>
      <w:r>
        <w:rPr>
          <w:b/>
        </w:rPr>
        <w:t>E. 1</w:t>
      </w:r>
    </w:p>
    <w:p>
      <w:r>
        <w:t>Gegen den Arrestbefehl findet weder Berufung noch Beschwerde statt ( Art. 279 Abs. 1 SchKG ). Diese Bestimmung bezieht sich aber nur auf die Bewilligung des Arrestes. Sie schliesst demnach nicht aus, dass die Kantone gegen die Verweigerung eines Arrestgesuches Rechtsmittel einräumen (vgl. BGE 46 I 486 /7; JAEGER, N. 1 zu Art. 279; FRITZSCHE, Schuldbetreibung Bd. II, S. 204). Von dieser Möglichkeit hat gerade der Kanton Thurgau Gebrauch gemacht. BGE 91 III 27 S. 29 Der Rekurrent geht - ohne Begründung - davon aus, er könne den (den Arrest verweigernden) Entscheid der Aufsichtsbehörde des Kantons Thurgau mit Rekurs an die Schuldbetreibungs- und Konkurskammer des Bundesgerichtes weiterziehen. Er irrt. Wegen unbegründeter Verweigerung des Arrestbefehls ist von Bundes wegen kein Rechtsmittel gegeben. Denn die Arrestbehörde gehört nicht zum Behördenorganismus der Schuldbetreibung als solcher, sondern stellt nur ein Hilfsorgan der letztern dar. Sie steht deshalb auch nicht unter der Aufsichtsbehörde (BLUMENSTEIN, Handbuch, S. 836; BONNARD, Le séquestre d'après la loi fédérale sur la poursuite pour dettes et la faillite, S. 115; JUD, Die Entwicklung der Rechtsprechung zum Arrestrecht des SchKG, S. 35). Das Bundesgericht hat daher als eidgenössische Aufsichtsbehörde in Schuldbetreibungs- und Konkurssachen keine Möglichkeit, eine Arrestbehörde anzuweisen, den Arrest zu bewilligen und den Arrestbefehl zu erlassen.</w:t>
      </w:r>
    </w:p>
    <w:p>
      <w:r>
        <w:rPr>
          <w:b/>
        </w:rPr>
        <w:t>E. 2</w:t>
      </w:r>
    </w:p>
    <w:p>
      <w:r>
        <w:t>Der Rekurrent sieht eine formelle Rechtsverweigerung darin, dass weder in Weinfelden noch in Locarno ein Arrest bewilligt werde. Dieser angeblichen Rechtsverweigerung ist indessen nicht mit einem Rekurs nach Art. 17 ff. SchKG beizukommen; sie könnte höchstens mit einer staatsrechtlichen Beschwerde wegen Verletzung von Art. 4 BV erfolgreich gerügt werden (vgl. JAEGER, N. 8 zu Art. 19).</w:t>
      </w:r>
    </w:p>
    <w:p>
      <w:r>
        <w:rPr>
          <w:b/>
        </w:rPr>
        <w:t>E. 3</w:t>
      </w:r>
    </w:p>
    <w:p>
      <w:r>
        <w:t>Der Rekurrent beanstandet schliesslich seine Belastung mit Gebühren. Wie schon in BGE 81 III 36 mit einlässlicher Begründung dargelegt, haben die Aufsichtsbehörden nicht darüber zu entscheiden, ob eine Arrestbehörde den Gebührentarif richtig angewendet habe.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